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směrnicemi: 2006/42/EU, 2014/53/EU a 2011/65/EU ve znění 2015/863/EU 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a mohou být prodávány ve všech zemích EU podle následujících evropských směrnic.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55032:2015+A11:2020+A1:2020 EN 55032:2015+A11:2020+A1:2020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55035:2017+A11:2020 EN 55035:2017+A11:2020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IEC 61000- EN IEC 61000-3-2:2019+A1:2021 2:2019+A1:2021 2:2019+A1:2021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 EN 61000-3-3:2013+A1:2019+A2:2021 3:2013+A1:2019+A2:2021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62368- EN 62368-1:2014+A11:2017 1:2014+A11:2017 1:2014+A11:2017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Směrnice RoHS 2011/65/EU Příloha II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kterým se mění příloha (EU) 2017/2102 mění se příloha (EU) 2017/2102 (EU) 2017/2102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 BCD2501PPSB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8427542131146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L’Hospitalet de Llobregat, 13. ledna 2025.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AohudMtpJcyxGzMKh5QGzF+6w==">CgMxLjA4AHIhMWE2Q2VSck5PMjdJcGNGa0JQUTVmQzJBa0MxX0xQeHlP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