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směrnicí 2014/53/EU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  <w:t xml:space="preserve"> a mohou být prodávány ve všech zemích EU podle následujících evropských směrnic.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Směrnice o elektromagnetické kompatibilitě 2014/30/EU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55032:2015+AC:2016, TŘÍDA B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55035:2017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61000-3-2:2014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61000-3-3:2013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 B0925CD02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8427542080956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L’Hospitalet de Llobregat, 24. července 2024.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QB5ZYhIQQo4uz3ox3teypG3Jg==">CgMxLjA4AHIhMThIQkYyN19vTHFlczFSdEhDdUxfbVFwZVZTTkpiVDZw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